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и педагогика одаренности</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и педагогика одаренности»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«Психология и педагогика одаренности».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и педагогика одаренности»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«Психология и педагогика одаренности» относится к обязательной части, является дисциплиной Блока Б1. «Дисциплины (модули)». Модуль "Формирование образовательной среды развития одаренных детей и талантливой молодежи"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основной образовательной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Организация исследовательской деятельности детей</w:t>
            </w:r>
          </w:p>
          <w:p>
            <w:pPr>
              <w:jc w:val="center"/>
              <w:spacing w:after="0" w:line="240" w:lineRule="auto"/>
              <w:rPr>
                <w:sz w:val="22"/>
                <w:szCs w:val="22"/>
              </w:rPr>
            </w:pPr>
            <w:r>
              <w:rPr>
                <w:rFonts w:ascii="Times New Roman" w:hAnsi="Times New Roman" w:cs="Times New Roman"/>
                <w:color w:val="#000000"/>
                <w:sz w:val="22"/>
                <w:szCs w:val="22"/>
              </w:rPr>
              <w:t> Организация педагогического процесса в учреждениях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ПК-4, ПК-3,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Теоретико-методологические основы развития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исследования одаренности. Практическая диагностика одаренных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Развитие одаренной личности в условиях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Психолого-педагогическое сопровождение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Нормативные документы сферы образования направленные на активизацию педагогических усилий по выявлению и развитию молодых талантов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Формы и методы педагогического взаимодействия с одаренными детьми и талантливой молодежью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Базовая модель тьюторского сопровождения развития одаренного ребенка в условиях взаимодействия общего, дополнительного и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организации тьюторского сопровождения одаренного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тьюторского сопровождения одаренного младшего школьника, подростка и старшеклассника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99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Теоретико-методологические основы развития одаренности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Одаренность как психологическая проблема. Современное состояние проблемы одаренности в нашей стране. История исследования детских талантов в отечественной и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Анализ существующих подходов к изучению одаренной личности. Принцип системного, личностного, деятельностного подхода в изучении одаренности. Культурно-историческая и естественнонаучная парадигмы в исследовании и развитии одаренности.</w:t>
            </w:r>
          </w:p>
          <w:p>
            <w:pPr>
              <w:jc w:val="both"/>
              <w:spacing w:after="0" w:line="240" w:lineRule="auto"/>
              <w:rPr>
                <w:sz w:val="24"/>
                <w:szCs w:val="24"/>
              </w:rPr>
            </w:pPr>
            <w:r>
              <w:rPr>
                <w:rFonts w:ascii="Times New Roman" w:hAnsi="Times New Roman" w:cs="Times New Roman"/>
                <w:color w:val="#000000"/>
                <w:sz w:val="24"/>
                <w:szCs w:val="24"/>
              </w:rPr>
              <w:t> Понятие и основные концепции детской одаренности. Содержание понятий «одаренность», «одаренный ребенок» в русской и зарубежной психологии и их развитие. Понятие одаренности в американской психолого-педагогической литературе. Однофакторный подход к проблеме. Природный интеллект как генетическая детерминанта одаренности. Работы Р.Кеттела, Л.Хамфрейса и др. Соотношение биологических и социальных факторов в понимании одаренности. Многофакторные концепции в раскрытии структуры одаренности. «Трехкольцевая» модель Дж. Рензулли. 4 -х компонентная концепция одаренности Дж. Фельдхьюсена. Психосоциальная модель А.Танненбаума и т.п. Отражение концептуальных моделей в содержании понятия. Тенденция к дифференциации одаренности. Официальная формулировка определения Комитета образования США. Концепции интеллектуальной одаренности (Дж. Гилфорд, Р. Стернберг). Интегративные концепции одаренности (М.А. Холодная, М.А. Матюшкин). Современное понимание одаренности как системного качества совместно работающих функциональных систем (В.Д. Шадриков). Проблема содержательных разногласий в понимании феномена одаренности. Признаки одаренности: инструментальный и мотивационный аспекты.</w:t>
            </w:r>
          </w:p>
          <w:p>
            <w:pPr>
              <w:jc w:val="both"/>
              <w:spacing w:after="0" w:line="240" w:lineRule="auto"/>
              <w:rPr>
                <w:sz w:val="24"/>
                <w:szCs w:val="24"/>
              </w:rPr>
            </w:pPr>
            <w:r>
              <w:rPr>
                <w:rFonts w:ascii="Times New Roman" w:hAnsi="Times New Roman" w:cs="Times New Roman"/>
                <w:color w:val="#000000"/>
                <w:sz w:val="24"/>
                <w:szCs w:val="24"/>
              </w:rPr>
              <w:t> Структура модели одаренности, факторы, влияющие на ее развитие. Характеристика интеллекта как компонента одаренности. Креативность как компонент одаренности. Духовность как системообразующий фактор одаренности.</w:t>
            </w:r>
          </w:p>
        </w:tc>
      </w:tr>
      <w:tr>
        <w:trPr>
          <w:trHeight w:hRule="exact" w:val="446.7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исследования одаренности. Практическая диагностика одаренных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детей.</w:t>
            </w:r>
          </w:p>
        </w:tc>
      </w:tr>
      <w:tr>
        <w:trPr>
          <w:trHeight w:hRule="exact" w:val="8398.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проявления одаренности. Лонгитюдные исследования одаренности. Основные задачи исследования одаренности.</w:t>
            </w:r>
          </w:p>
          <w:p>
            <w:pPr>
              <w:jc w:val="both"/>
              <w:spacing w:after="0" w:line="240" w:lineRule="auto"/>
              <w:rPr>
                <w:sz w:val="24"/>
                <w:szCs w:val="24"/>
              </w:rPr>
            </w:pPr>
            <w:r>
              <w:rPr>
                <w:rFonts w:ascii="Times New Roman" w:hAnsi="Times New Roman" w:cs="Times New Roman"/>
                <w:color w:val="#000000"/>
                <w:sz w:val="24"/>
                <w:szCs w:val="24"/>
              </w:rPr>
              <w:t> Идентификация и выявление одаренных детей. Характеристика программ выявления одаренных детей. Сравнительный анализ существующих программ по выявлению одаренных детей в зарубежных странах. Разработка программы идентификации одаренных детей в России.</w:t>
            </w:r>
          </w:p>
          <w:p>
            <w:pPr>
              <w:jc w:val="both"/>
              <w:spacing w:after="0" w:line="240" w:lineRule="auto"/>
              <w:rPr>
                <w:sz w:val="24"/>
                <w:szCs w:val="24"/>
              </w:rPr>
            </w:pPr>
            <w:r>
              <w:rPr>
                <w:rFonts w:ascii="Times New Roman" w:hAnsi="Times New Roman" w:cs="Times New Roman"/>
                <w:color w:val="#000000"/>
                <w:sz w:val="24"/>
                <w:szCs w:val="24"/>
              </w:rPr>
              <w:t> Методы психологической диагностики Проблемы психологической диагностики одаренности. Метод наблюдения. Метод экспертной оценки. Метод анкетирования. Метод тестов. Общая характеристика методов изучения одаренных детей.</w:t>
            </w:r>
          </w:p>
          <w:p>
            <w:pPr>
              <w:jc w:val="both"/>
              <w:spacing w:after="0" w:line="240" w:lineRule="auto"/>
              <w:rPr>
                <w:sz w:val="24"/>
                <w:szCs w:val="24"/>
              </w:rPr>
            </w:pPr>
            <w:r>
              <w:rPr>
                <w:rFonts w:ascii="Times New Roman" w:hAnsi="Times New Roman" w:cs="Times New Roman"/>
                <w:color w:val="#000000"/>
                <w:sz w:val="24"/>
                <w:szCs w:val="24"/>
              </w:rPr>
              <w:t> Комплексная диагностика креативности. Методы изучения креативности (Торренс, Гилфорд, Стернберг). Тест дивергентного мышления. Тест творческого мышления П.Торренса. Методика изучения детской креативности как черты личности ребенка (Р.В. Овчарова). Адаптированный вариант набора креативных тестов Ф. Вильямса (модификация Е.Е.Туник). Вербальный тест творческого мышления «Необычное использования» (Е.И. Щебланова, И.С. Аверина).</w:t>
            </w:r>
          </w:p>
          <w:p>
            <w:pPr>
              <w:jc w:val="both"/>
              <w:spacing w:after="0" w:line="240" w:lineRule="auto"/>
              <w:rPr>
                <w:sz w:val="24"/>
                <w:szCs w:val="24"/>
              </w:rPr>
            </w:pPr>
            <w:r>
              <w:rPr>
                <w:rFonts w:ascii="Times New Roman" w:hAnsi="Times New Roman" w:cs="Times New Roman"/>
                <w:color w:val="#000000"/>
                <w:sz w:val="24"/>
                <w:szCs w:val="24"/>
              </w:rPr>
              <w:t> Диагностика способностей к обучению, мотивационно-личностных, творческих и лидерских характеристик школьников и дошкольников. Адаптированный вариант тестов - опросников, направленных на диагностику способностей к обучению, мотивационно- личностных, творческих и лидерских характеристик школьников и дошкольников (Е.Е. Туник, В.П. Опутникова). Опросник «Способности к обучению». Опросник «Мотивационно-личностные характеристики». Опросник «Творческие способности». Опросник «Лидерские способности».</w:t>
            </w:r>
          </w:p>
          <w:p>
            <w:pPr>
              <w:jc w:val="both"/>
              <w:spacing w:after="0" w:line="240" w:lineRule="auto"/>
              <w:rPr>
                <w:sz w:val="24"/>
                <w:szCs w:val="24"/>
              </w:rPr>
            </w:pPr>
            <w:r>
              <w:rPr>
                <w:rFonts w:ascii="Times New Roman" w:hAnsi="Times New Roman" w:cs="Times New Roman"/>
                <w:color w:val="#000000"/>
                <w:sz w:val="24"/>
                <w:szCs w:val="24"/>
              </w:rPr>
              <w:t> Методы изучения интеллекта одаренных детей. Методика экспресс – диагностики интеллектуальных способностей (МЭДИС) (И.С. Аверина, Е.И. Щебланова). Тест интеллекта Амтхауэра. Тест интеллекта Векслера. Тест Гудинаф – Харриса «Рисунок</w:t>
            </w:r>
          </w:p>
          <w:p>
            <w:pPr>
              <w:jc w:val="both"/>
              <w:spacing w:after="0" w:line="240" w:lineRule="auto"/>
              <w:rPr>
                <w:sz w:val="24"/>
                <w:szCs w:val="24"/>
              </w:rPr>
            </w:pPr>
            <w:r>
              <w:rPr>
                <w:rFonts w:ascii="Times New Roman" w:hAnsi="Times New Roman" w:cs="Times New Roman"/>
                <w:color w:val="#000000"/>
                <w:sz w:val="24"/>
                <w:szCs w:val="24"/>
              </w:rPr>
              <w:t> человека».</w:t>
            </w:r>
          </w:p>
          <w:p>
            <w:pPr>
              <w:jc w:val="both"/>
              <w:spacing w:after="0" w:line="240" w:lineRule="auto"/>
              <w:rPr>
                <w:sz w:val="24"/>
                <w:szCs w:val="24"/>
              </w:rPr>
            </w:pPr>
            <w:r>
              <w:rPr>
                <w:rFonts w:ascii="Times New Roman" w:hAnsi="Times New Roman" w:cs="Times New Roman"/>
                <w:color w:val="#000000"/>
                <w:sz w:val="24"/>
                <w:szCs w:val="24"/>
              </w:rPr>
              <w:t> Методы анкетирования для диагностики развития одаренных детей. Опросник личностных творческих характеристик. Шкала Вильямса. Опросник для родителей и учителей. Анкеты на определение интенсивности и уровня познавательной потребности» (Юркевич В.С.). Методы экспертных оценок по определению одаренных детей (Лосева А.А). Шкала рейтинга поведенческих характеристик Дж. Рензулли.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Развитие одаренной личности в условиях современного общества.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одаренной личности в условиях современной социальной ситуации и влияния русской культуры. Характеристика современной социальной ситуации развития. Влияние русской культуры на развитие одаренности. Ментальность одаренной личности в условиях сибирской субкультуры.</w:t>
            </w:r>
          </w:p>
          <w:p>
            <w:pPr>
              <w:jc w:val="both"/>
              <w:spacing w:after="0" w:line="240" w:lineRule="auto"/>
              <w:rPr>
                <w:sz w:val="24"/>
                <w:szCs w:val="24"/>
              </w:rPr>
            </w:pPr>
            <w:r>
              <w:rPr>
                <w:rFonts w:ascii="Times New Roman" w:hAnsi="Times New Roman" w:cs="Times New Roman"/>
                <w:color w:val="#000000"/>
                <w:sz w:val="24"/>
                <w:szCs w:val="24"/>
              </w:rPr>
              <w:t> Роль учителя в развитии одаренного ребенка. Роль учителя в приобщении к культуре и развитии одаренного ребенка. Влияние личности учителя на одаренного ребенка. Личностные особенности учителей, работающих с одаренными детьми.</w:t>
            </w:r>
          </w:p>
          <w:p>
            <w:pPr>
              <w:jc w:val="both"/>
              <w:spacing w:after="0" w:line="240" w:lineRule="auto"/>
              <w:rPr>
                <w:sz w:val="24"/>
                <w:szCs w:val="24"/>
              </w:rPr>
            </w:pPr>
            <w:r>
              <w:rPr>
                <w:rFonts w:ascii="Times New Roman" w:hAnsi="Times New Roman" w:cs="Times New Roman"/>
                <w:color w:val="#000000"/>
                <w:sz w:val="24"/>
                <w:szCs w:val="24"/>
              </w:rPr>
              <w:t> Влияние семьи на развитие одаренного ребенка. Семья как основа развития личности одаренного ребенка. Проблемы функционирования современной семьи. Исследование особенностей семейного воспитания одаренных детей.</w:t>
            </w:r>
          </w:p>
          <w:p>
            <w:pPr>
              <w:jc w:val="both"/>
              <w:spacing w:after="0" w:line="240" w:lineRule="auto"/>
              <w:rPr>
                <w:sz w:val="24"/>
                <w:szCs w:val="24"/>
              </w:rPr>
            </w:pPr>
            <w:r>
              <w:rPr>
                <w:rFonts w:ascii="Times New Roman" w:hAnsi="Times New Roman" w:cs="Times New Roman"/>
                <w:color w:val="#000000"/>
                <w:sz w:val="24"/>
                <w:szCs w:val="24"/>
              </w:rPr>
              <w:t> Влияние коллектива на развитие одаренного ребенка. Проблема взаимодействия одаренного ребенка с коллективом. Социальная адаптация одаренных детей. Исследование социальной адаптации одаренных студентов.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Психолого-педагогическое сопровождение одаренности.</w:t>
            </w:r>
          </w:p>
        </w:tc>
      </w:tr>
      <w:tr>
        <w:trPr>
          <w:trHeight w:hRule="exact" w:val="2548.5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КТеоретические аспекты сопровождения развития ребенка в образовательном</w:t>
            </w:r>
          </w:p>
          <w:p>
            <w:pPr>
              <w:jc w:val="both"/>
              <w:spacing w:after="0" w:line="240" w:lineRule="auto"/>
              <w:rPr>
                <w:sz w:val="24"/>
                <w:szCs w:val="24"/>
              </w:rPr>
            </w:pPr>
            <w:r>
              <w:rPr>
                <w:rFonts w:ascii="Times New Roman" w:hAnsi="Times New Roman" w:cs="Times New Roman"/>
                <w:color w:val="#000000"/>
                <w:sz w:val="24"/>
                <w:szCs w:val="24"/>
              </w:rPr>
              <w:t> пространстве. Понятие сопровождения, идея, цель. Психолого-педагогическое и медико- социальное сопровождение реабилитации ребенка. Основополагающие принципы сопровождения развития ребенка. Задача специалистов службы сопровождения. Предмет деятельности специалистов сопровождения. Основные подходы взаимодействия специалистов в образовательном пространстве. Координатор сопровождения развития ребенка. Ресурсы.</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одаренных детей и связанные с ними проблемы в школьном обучении. Опережающее развитие познавательной сферы.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мотивации. особенности эмоциональной регуляции. Особенности социальных отношений. Перфекционизм как свойство одаренных детей. Высокий творческий потенциал.</w:t>
            </w:r>
          </w:p>
          <w:p>
            <w:pPr>
              <w:jc w:val="both"/>
              <w:spacing w:after="0" w:line="240" w:lineRule="auto"/>
              <w:rPr>
                <w:sz w:val="24"/>
                <w:szCs w:val="24"/>
              </w:rPr>
            </w:pPr>
            <w:r>
              <w:rPr>
                <w:rFonts w:ascii="Times New Roman" w:hAnsi="Times New Roman" w:cs="Times New Roman"/>
                <w:color w:val="#000000"/>
                <w:sz w:val="24"/>
                <w:szCs w:val="24"/>
              </w:rPr>
              <w:t> Проблемы в обучении связанные с неравномерностью развития одаренных детей. Неравномерность развития как психологическая концепция. Неравномерность развития познавательных способностей. Дисинхрония интеллектуального и психомоторного развития. Нарушение внимания и гиперактивность. Дисинхрония интеллектуального и аффективного развития. Дисинхрония интеллектуального и социального развития. Эффект Пигмалиона.</w:t>
            </w:r>
          </w:p>
          <w:p>
            <w:pPr>
              <w:jc w:val="both"/>
              <w:spacing w:after="0" w:line="240" w:lineRule="auto"/>
              <w:rPr>
                <w:sz w:val="24"/>
                <w:szCs w:val="24"/>
              </w:rPr>
            </w:pPr>
            <w:r>
              <w:rPr>
                <w:rFonts w:ascii="Times New Roman" w:hAnsi="Times New Roman" w:cs="Times New Roman"/>
                <w:color w:val="#000000"/>
                <w:sz w:val="24"/>
                <w:szCs w:val="24"/>
              </w:rPr>
              <w:t> Дифференциация и индивидуализация обучения одаренных детей. Развитие детской одаренности и организационные основы функционирования образовательных систем. Дифференциация и индивидуализация обучения в культурно-образовательной традиции. Виды дифференциации обучения. Формы дифференциации обучения. Уровни дифференциации обучения.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Нормативные документы сферы образования направленные на активизацию педагогических усилий по выявлению и развитию молодых талантов</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Координации работ в сфере одаренности в различных направлениях. 1975 г. - создание Всемирного совета по таланту и одаренности детей, в развитых странах мира, появление Национальных центров одаренности. Особенности подобных Центров. 1988 год функционирование Европейского комитета по образованию одаренных детей (Евроталант) - международная неправительственная организация с консультативным статусом при Совете  Европы. Основные функции и направления деятельности Евроталанта.</w:t>
            </w:r>
          </w:p>
          <w:p>
            <w:pPr>
              <w:jc w:val="left"/>
              <w:spacing w:after="0" w:line="240" w:lineRule="auto"/>
              <w:rPr>
                <w:sz w:val="24"/>
                <w:szCs w:val="24"/>
              </w:rPr>
            </w:pPr>
            <w:r>
              <w:rPr>
                <w:rFonts w:ascii="Times New Roman" w:hAnsi="Times New Roman" w:cs="Times New Roman"/>
                <w:color w:val="#000000"/>
                <w:sz w:val="24"/>
                <w:szCs w:val="24"/>
              </w:rPr>
              <w:t>  Федеральная целевая программа развития образования на 20011-2015 год, Национальная стратегия действий в интересах детей Российской Федерации до 2017 года, Государственная программа Российской Федерации «Развитие образования на 2013-2020 годы, Концепция Российской национальной системы выявления и развития молодых талантов. Основные направления поддержки одаренных детей. Основные концептуальные идеи и стратегические ориентиры современной государственной политики в сфере одаренного детства.</w:t>
            </w:r>
          </w:p>
          <w:p>
            <w:pPr>
              <w:jc w:val="left"/>
              <w:spacing w:after="0" w:line="240" w:lineRule="auto"/>
              <w:rPr>
                <w:sz w:val="24"/>
                <w:szCs w:val="24"/>
              </w:rPr>
            </w:pPr>
            <w:r>
              <w:rPr>
                <w:rFonts w:ascii="Times New Roman" w:hAnsi="Times New Roman" w:cs="Times New Roman"/>
                <w:color w:val="#000000"/>
                <w:sz w:val="24"/>
                <w:szCs w:val="24"/>
              </w:rPr>
              <w:t> Рабочая концепция одаренности (РКО). Признаки, по которым педагог дополнительного образования может идентифицировать одаренного ребенка. Два аспекта поведения одаренного ребенка: инструментальный и мотивационный и их содержательная характеристика. Качественный и количественный аспекты одаренности выделенные РКО. Критерии для систематизации видов одаренности.</w:t>
            </w:r>
          </w:p>
          <w:p>
            <w:pPr>
              <w:jc w:val="left"/>
              <w:spacing w:after="0" w:line="240" w:lineRule="auto"/>
              <w:rPr>
                <w:sz w:val="24"/>
                <w:szCs w:val="24"/>
              </w:rPr>
            </w:pPr>
            <w:r>
              <w:rPr>
                <w:rFonts w:ascii="Times New Roman" w:hAnsi="Times New Roman" w:cs="Times New Roman"/>
                <w:color w:val="#000000"/>
                <w:sz w:val="24"/>
                <w:szCs w:val="24"/>
              </w:rPr>
              <w:t> Два типа личности одаренного ребенка: гармоничный и дисгармоничный.</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Формы и методы педагогического взаимодействия с одаренными детьми и талантливой молодежью в системе дополнительного образования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работы с одаренными детьми в системе дополнительного образования, их признаки классификаций. Формы детских образовательных объединений: кружок, клуб, лаборатория, студия, школа, мастерская, ансамбль, театр, секция.</w:t>
            </w:r>
          </w:p>
          <w:p>
            <w:pPr>
              <w:jc w:val="left"/>
              <w:spacing w:after="0" w:line="240" w:lineRule="auto"/>
              <w:rPr>
                <w:sz w:val="24"/>
                <w:szCs w:val="24"/>
              </w:rPr>
            </w:pPr>
            <w:r>
              <w:rPr>
                <w:rFonts w:ascii="Times New Roman" w:hAnsi="Times New Roman" w:cs="Times New Roman"/>
                <w:color w:val="#000000"/>
                <w:sz w:val="24"/>
                <w:szCs w:val="24"/>
              </w:rPr>
              <w:t> Основные направления детских образовательных объединений. Индивидуальные и коллективные формы организации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Наиболее популярные формы работы с одаренными детьми: состязательные мероприятия, всероссийская олимпиада школьников, турнир, интеллектуальные игры, викторина, стратегия, спортивные и творческие состязания (фестивали, смотры, выставки, конкурсы и пр.). Три уровня работы над проектом. Требования к организации соревнований.</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Базовая модель тьюторского сопровождения развития одаренного ребенка в условиях взаимодействия общего, дополнительного и профессионального образования.</w:t>
            </w:r>
          </w:p>
        </w:tc>
      </w:tr>
      <w:tr>
        <w:trPr>
          <w:trHeight w:hRule="exact" w:val="21.31518"/>
        </w:trPr>
        <w:tc>
          <w:tcPr>
            <w:tcW w:w="9640" w:type="dxa"/>
          </w:tcPr>
          <w:p/>
        </w:tc>
      </w:tr>
      <w:tr>
        <w:trPr>
          <w:trHeight w:hRule="exact" w:val="858.18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тьюторского сопровождения одаренного ребенка. Функции тьютора. Регламенты тьюторского сопровождения. Регламентация. Проблема механизма отбора педагогов-тьюторов одаренных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тьюторскому сопровождению одаренного ребенка. Методологические подходы тьюторской деятельности. Принципы тьюторского сопровождения. Основные идеи концепции тьюторского сопровождения одаренного ребенка.</w:t>
            </w:r>
          </w:p>
          <w:p>
            <w:pPr>
              <w:jc w:val="left"/>
              <w:spacing w:after="0" w:line="240" w:lineRule="auto"/>
              <w:rPr>
                <w:sz w:val="24"/>
                <w:szCs w:val="24"/>
              </w:rPr>
            </w:pPr>
            <w:r>
              <w:rPr>
                <w:rFonts w:ascii="Times New Roman" w:hAnsi="Times New Roman" w:cs="Times New Roman"/>
                <w:color w:val="#000000"/>
                <w:sz w:val="24"/>
                <w:szCs w:val="24"/>
              </w:rPr>
              <w:t> Концепция педагогической деятельности тьютора. Особенности содержания тьюторской деятельности в работе с детьми с особыми образовательными потребностями, одаренными детьми. Технологии организации тьюторского сопровождения одаренного ребенка.</w:t>
            </w:r>
          </w:p>
          <w:p>
            <w:pPr>
              <w:jc w:val="left"/>
              <w:spacing w:after="0" w:line="240" w:lineRule="auto"/>
              <w:rPr>
                <w:sz w:val="24"/>
                <w:szCs w:val="24"/>
              </w:rPr>
            </w:pPr>
            <w:r>
              <w:rPr>
                <w:rFonts w:ascii="Times New Roman" w:hAnsi="Times New Roman" w:cs="Times New Roman"/>
                <w:color w:val="#000000"/>
                <w:sz w:val="24"/>
                <w:szCs w:val="24"/>
              </w:rPr>
              <w:t> Взаимодействие вузов и образовательных учреждений по сопровождению одаренных детей. Профориентационная работа с одаренными детьми. Сопровождение одаренности и подготовка педагогических кадров. Мотивационной поддержка этой работы. Создание ресурсного центра поддержки одаренных детей и подростков на уровне вуза. Научно- методическое и информационное обеспечение процесса выявления, поддержки и развития одаренных детей и подростков. Новые методические продукты, их систематизация.</w:t>
            </w:r>
          </w:p>
          <w:p>
            <w:pPr>
              <w:jc w:val="left"/>
              <w:spacing w:after="0" w:line="240" w:lineRule="auto"/>
              <w:rPr>
                <w:sz w:val="24"/>
                <w:szCs w:val="24"/>
              </w:rPr>
            </w:pPr>
            <w:r>
              <w:rPr>
                <w:rFonts w:ascii="Times New Roman" w:hAnsi="Times New Roman" w:cs="Times New Roman"/>
                <w:color w:val="#000000"/>
                <w:sz w:val="24"/>
                <w:szCs w:val="24"/>
              </w:rPr>
              <w:t> Реализация индивидуального образовательного маршрута старшеклассника в условиях взаимодействия вузов и образовательных учреждений.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организации тьюторского сопровождения одаренного ребенка.</w:t>
            </w:r>
          </w:p>
        </w:tc>
      </w:tr>
      <w:tr>
        <w:trPr>
          <w:trHeight w:hRule="exact" w:val="21.31518"/>
        </w:trPr>
        <w:tc>
          <w:tcPr>
            <w:tcW w:w="9640" w:type="dxa"/>
          </w:tcPr>
          <w:p/>
        </w:tc>
      </w:tr>
      <w:tr>
        <w:trPr>
          <w:trHeight w:hRule="exact" w:val="8969.2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тьюторского сопровождения исследовательской деятельности обучающегося. Роль тьютора в процессе исследовательской деятельности. Индивидуальные и групповые исследовательские работы.</w:t>
            </w:r>
          </w:p>
          <w:p>
            <w:pPr>
              <w:jc w:val="left"/>
              <w:spacing w:after="0" w:line="240" w:lineRule="auto"/>
              <w:rPr>
                <w:sz w:val="24"/>
                <w:szCs w:val="24"/>
              </w:rPr>
            </w:pPr>
            <w:r>
              <w:rPr>
                <w:rFonts w:ascii="Times New Roman" w:hAnsi="Times New Roman" w:cs="Times New Roman"/>
                <w:color w:val="#000000"/>
                <w:sz w:val="24"/>
                <w:szCs w:val="24"/>
              </w:rPr>
              <w:t> Технология тьюторского сопровождения проектной деятельности обучающегося. Причины использования метода проектов. Методы используемы в рамках данной технологии.</w:t>
            </w:r>
          </w:p>
          <w:p>
            <w:pPr>
              <w:jc w:val="left"/>
              <w:spacing w:after="0" w:line="240" w:lineRule="auto"/>
              <w:rPr>
                <w:sz w:val="24"/>
                <w:szCs w:val="24"/>
              </w:rPr>
            </w:pPr>
            <w:r>
              <w:rPr>
                <w:rFonts w:ascii="Times New Roman" w:hAnsi="Times New Roman" w:cs="Times New Roman"/>
                <w:color w:val="#000000"/>
                <w:sz w:val="24"/>
                <w:szCs w:val="24"/>
              </w:rPr>
              <w:t> Технология тьюторского сопровождения деловой игры. Основные этапы деловой игры. Технология сопровождения электронного интерактивного обучения. Средства и методы электронного интерактивного обучения. Задачи тьютора.</w:t>
            </w:r>
          </w:p>
          <w:p>
            <w:pPr>
              <w:jc w:val="left"/>
              <w:spacing w:after="0" w:line="240" w:lineRule="auto"/>
              <w:rPr>
                <w:sz w:val="24"/>
                <w:szCs w:val="24"/>
              </w:rPr>
            </w:pPr>
            <w:r>
              <w:rPr>
                <w:rFonts w:ascii="Times New Roman" w:hAnsi="Times New Roman" w:cs="Times New Roman"/>
                <w:color w:val="#000000"/>
                <w:sz w:val="24"/>
                <w:szCs w:val="24"/>
              </w:rPr>
              <w:t> Технология организации тьютором образовательных экспедиций. Этапы подготовки к экспедиции.</w:t>
            </w:r>
          </w:p>
          <w:p>
            <w:pPr>
              <w:jc w:val="left"/>
              <w:spacing w:after="0" w:line="240" w:lineRule="auto"/>
              <w:rPr>
                <w:sz w:val="24"/>
                <w:szCs w:val="24"/>
              </w:rPr>
            </w:pPr>
            <w:r>
              <w:rPr>
                <w:rFonts w:ascii="Times New Roman" w:hAnsi="Times New Roman" w:cs="Times New Roman"/>
                <w:color w:val="#000000"/>
                <w:sz w:val="24"/>
                <w:szCs w:val="24"/>
              </w:rPr>
              <w:t> Технология консультирования. Цель тьюторской беседы или консультирования. Виды деятельности тьютора. Преимущества консультации.</w:t>
            </w:r>
          </w:p>
          <w:p>
            <w:pPr>
              <w:jc w:val="left"/>
              <w:spacing w:after="0" w:line="240" w:lineRule="auto"/>
              <w:rPr>
                <w:sz w:val="24"/>
                <w:szCs w:val="24"/>
              </w:rPr>
            </w:pPr>
            <w:r>
              <w:rPr>
                <w:rFonts w:ascii="Times New Roman" w:hAnsi="Times New Roman" w:cs="Times New Roman"/>
                <w:color w:val="#000000"/>
                <w:sz w:val="24"/>
                <w:szCs w:val="24"/>
              </w:rPr>
              <w:t> Тренинговая технология. Виды тренингов в работе тьютора с одаренными детьми.</w:t>
            </w:r>
          </w:p>
          <w:p>
            <w:pPr>
              <w:jc w:val="left"/>
              <w:spacing w:after="0" w:line="240" w:lineRule="auto"/>
              <w:rPr>
                <w:sz w:val="24"/>
                <w:szCs w:val="24"/>
              </w:rPr>
            </w:pPr>
            <w:r>
              <w:rPr>
                <w:rFonts w:ascii="Times New Roman" w:hAnsi="Times New Roman" w:cs="Times New Roman"/>
                <w:color w:val="#000000"/>
                <w:sz w:val="24"/>
                <w:szCs w:val="24"/>
              </w:rPr>
              <w:t> Технология организации образовательного события. Особенности организации и проведения образовательного события. Три фазы воспитательного события.</w:t>
            </w:r>
          </w:p>
          <w:p>
            <w:pPr>
              <w:jc w:val="left"/>
              <w:spacing w:after="0" w:line="240" w:lineRule="auto"/>
              <w:rPr>
                <w:sz w:val="24"/>
                <w:szCs w:val="24"/>
              </w:rPr>
            </w:pPr>
            <w:r>
              <w:rPr>
                <w:rFonts w:ascii="Times New Roman" w:hAnsi="Times New Roman" w:cs="Times New Roman"/>
                <w:color w:val="#000000"/>
                <w:sz w:val="24"/>
                <w:szCs w:val="24"/>
              </w:rPr>
              <w:t> Тьюториал, как технология, направленная на приобретение опыта использования модельных и нестандартных ситуаций в построении индивидуальных образовательных программ. Задачи тьютора в рамках данной технологии.</w:t>
            </w:r>
          </w:p>
          <w:p>
            <w:pPr>
              <w:jc w:val="left"/>
              <w:spacing w:after="0" w:line="240" w:lineRule="auto"/>
              <w:rPr>
                <w:sz w:val="24"/>
                <w:szCs w:val="24"/>
              </w:rPr>
            </w:pPr>
            <w:r>
              <w:rPr>
                <w:rFonts w:ascii="Times New Roman" w:hAnsi="Times New Roman" w:cs="Times New Roman"/>
                <w:color w:val="#000000"/>
                <w:sz w:val="24"/>
                <w:szCs w:val="24"/>
              </w:rPr>
              <w:t> Технология профильных и профессиональных проб. Роль тьютора как  организатора самостоятельной образовательной деятельности школьника.</w:t>
            </w:r>
          </w:p>
          <w:p>
            <w:pPr>
              <w:jc w:val="left"/>
              <w:spacing w:after="0" w:line="240" w:lineRule="auto"/>
              <w:rPr>
                <w:sz w:val="24"/>
                <w:szCs w:val="24"/>
              </w:rPr>
            </w:pPr>
            <w:r>
              <w:rPr>
                <w:rFonts w:ascii="Times New Roman" w:hAnsi="Times New Roman" w:cs="Times New Roman"/>
                <w:color w:val="#000000"/>
                <w:sz w:val="24"/>
                <w:szCs w:val="24"/>
              </w:rPr>
              <w:t> Технология портфолио. Учебный портфель (портфолио), как технология, которая может быть использована как основа индивидуального маршрута образования ребенка. Механизм оценки портфолио.</w:t>
            </w:r>
          </w:p>
          <w:p>
            <w:pPr>
              <w:jc w:val="left"/>
              <w:spacing w:after="0" w:line="240" w:lineRule="auto"/>
              <w:rPr>
                <w:sz w:val="24"/>
                <w:szCs w:val="24"/>
              </w:rPr>
            </w:pPr>
            <w:r>
              <w:rPr>
                <w:rFonts w:ascii="Times New Roman" w:hAnsi="Times New Roman" w:cs="Times New Roman"/>
                <w:color w:val="#000000"/>
                <w:sz w:val="24"/>
                <w:szCs w:val="24"/>
              </w:rPr>
              <w:t> Технология организация индивидуального образовательного маршрута одаренного ребенка. Необходимость построения индивидуальных образовательных программ для реализации индивидуальных образовательных маршрутов. Комплекс факторов определяющих выбор того или иного индивидуального образовательного маршрута. Структура индивидуального образовательного маршрута. Формы организации деятельности в рамках индивидуального образовательного маршрута. Этапы совместной деятельности в рамках сетевого взаимодействия по организации индивидуального образовательного маршрута. Контроль за выполнением индивидуального образовательного маршрута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и педагогика одаренности» / Шмачилина-Цибенко С.В..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одаренности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одаренности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978-5-9270-0218-4.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http://www.iprbookshop.ru/15600.html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детской</w:t>
            </w:r>
            <w:r>
              <w:rPr/>
              <w:t xml:space="preserve"> </w:t>
            </w:r>
            <w:r>
              <w:rPr>
                <w:rFonts w:ascii="Times New Roman" w:hAnsi="Times New Roman" w:cs="Times New Roman"/>
                <w:color w:val="#000000"/>
                <w:sz w:val="24"/>
                <w:szCs w:val="24"/>
              </w:rPr>
              <w:t>одаренности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одаренности.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практике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Адаскина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Битянова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Дружинин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Ушаков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Чурбанова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Ушаков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одаренности.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практике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Пер</w:t>
            </w:r>
            <w:r>
              <w:rPr/>
              <w:t xml:space="preserve"> </w:t>
            </w:r>
            <w:r>
              <w:rPr>
                <w:rFonts w:ascii="Times New Roman" w:hAnsi="Times New Roman" w:cs="Times New Roman"/>
                <w:color w:val="#000000"/>
                <w:sz w:val="24"/>
                <w:szCs w:val="24"/>
              </w:rPr>
              <w:t>Сэ,</w:t>
            </w:r>
            <w:r>
              <w:rPr/>
              <w:t xml:space="preserve"> </w:t>
            </w:r>
            <w:r>
              <w:rPr>
                <w:rFonts w:ascii="Times New Roman" w:hAnsi="Times New Roman" w:cs="Times New Roman"/>
                <w:color w:val="#000000"/>
                <w:sz w:val="24"/>
                <w:szCs w:val="24"/>
              </w:rPr>
              <w:t>2000.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5-9292-0012-2.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http://www.iprbookshop.ru/7401.html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https://urait.ru/bcode/414149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Саморегуляция</w:t>
            </w:r>
            <w:r>
              <w:rPr/>
              <w:t xml:space="preserve"> </w:t>
            </w:r>
            <w:r>
              <w:rPr>
                <w:rFonts w:ascii="Times New Roman" w:hAnsi="Times New Roman" w:cs="Times New Roman"/>
                <w:color w:val="#000000"/>
                <w:sz w:val="24"/>
                <w:szCs w:val="24"/>
              </w:rPr>
              <w:t>одаренных</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Олейник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http://www.iprbookshop.ru/77570.html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Интеллектуальная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творческая</w:t>
            </w:r>
            <w:r>
              <w:rPr/>
              <w:t xml:space="preserve"> </w:t>
            </w:r>
            <w:r>
              <w:rPr>
                <w:rFonts w:ascii="Times New Roman" w:hAnsi="Times New Roman" w:cs="Times New Roman"/>
                <w:color w:val="#000000"/>
                <w:sz w:val="24"/>
                <w:szCs w:val="24"/>
              </w:rPr>
              <w:t>одаренность.</w:t>
            </w:r>
            <w:r>
              <w:rPr/>
              <w:t xml:space="preserve"> </w:t>
            </w:r>
            <w:r>
              <w:rPr>
                <w:rFonts w:ascii="Times New Roman" w:hAnsi="Times New Roman" w:cs="Times New Roman"/>
                <w:color w:val="#000000"/>
                <w:sz w:val="24"/>
                <w:szCs w:val="24"/>
              </w:rPr>
              <w:t>Междисциплинарный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Альминдеров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Гиза</w:t>
            </w:r>
            <w:r>
              <w:rPr/>
              <w:t xml:space="preserve"> </w:t>
            </w:r>
            <w:r>
              <w:rPr>
                <w:rFonts w:ascii="Times New Roman" w:hAnsi="Times New Roman" w:cs="Times New Roman"/>
                <w:color w:val="#000000"/>
                <w:sz w:val="24"/>
                <w:szCs w:val="24"/>
              </w:rPr>
              <w:t>Тереза,</w:t>
            </w:r>
            <w:r>
              <w:rPr/>
              <w:t xml:space="preserve"> </w:t>
            </w:r>
            <w:r>
              <w:rPr>
                <w:rFonts w:ascii="Times New Roman" w:hAnsi="Times New Roman" w:cs="Times New Roman"/>
                <w:color w:val="#000000"/>
                <w:sz w:val="24"/>
                <w:szCs w:val="24"/>
              </w:rPr>
              <w:t>Завалко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978-5-9500354-1-8.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http://www.iprbookshop.ru/75455.html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Одаренные</w:t>
            </w:r>
            <w:r>
              <w:rPr/>
              <w:t xml:space="preserve"> </w:t>
            </w:r>
            <w:r>
              <w:rPr>
                <w:rFonts w:ascii="Times New Roman" w:hAnsi="Times New Roman" w:cs="Times New Roman"/>
                <w:color w:val="#000000"/>
                <w:sz w:val="24"/>
                <w:szCs w:val="24"/>
              </w:rPr>
              <w:t>дети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Монкс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Ипенбург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Белопольский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Одаренные</w:t>
            </w:r>
            <w:r>
              <w:rPr/>
              <w:t xml:space="preserve"> </w:t>
            </w:r>
            <w:r>
              <w:rPr>
                <w:rFonts w:ascii="Times New Roman" w:hAnsi="Times New Roman" w:cs="Times New Roman"/>
                <w:color w:val="#000000"/>
                <w:sz w:val="24"/>
                <w:szCs w:val="24"/>
              </w:rPr>
              <w:t>дети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978-5-89353-408-5.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http://www.iprbookshop.ru/32134.html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6.8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74.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2023-2024_ФГОС3++2023_Маг-ЗФО-ПО(ДО)(23)_plx_Психология и педагогика одаренности</dc:title>
  <dc:creator>FastReport.NET</dc:creator>
</cp:coreProperties>
</file>